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3E2F" w:rsidRPr="00F63E2F" w:rsidRDefault="00F63E2F" w:rsidP="00F63E2F">
      <w:pPr>
        <w:spacing w:line="360" w:lineRule="auto"/>
        <w:jc w:val="center"/>
        <w:rPr>
          <w:rFonts w:ascii="Times New Roman" w:hAnsi="Times New Roman" w:cs="Times New Roman"/>
          <w:sz w:val="28"/>
          <w:szCs w:val="28"/>
        </w:rPr>
      </w:pPr>
      <w:r w:rsidRPr="00F63E2F">
        <w:rPr>
          <w:rFonts w:ascii="Times New Roman" w:hAnsi="Times New Roman" w:cs="Times New Roman"/>
          <w:b/>
          <w:bCs/>
          <w:sz w:val="28"/>
          <w:szCs w:val="28"/>
        </w:rPr>
        <w:t>Các địa điểm tổ chức chợ hoa xuân phục vụ Tết Nguyên đán Ất Tỵ 2025 trên địa bàn thành phố Hà Nội</w:t>
      </w:r>
      <w:r w:rsidRPr="00F63E2F">
        <w:rPr>
          <w:rFonts w:ascii="Times New Roman" w:hAnsi="Times New Roman" w:cs="Times New Roman"/>
          <w:sz w:val="28"/>
          <w:szCs w:val="28"/>
        </w:rPr>
        <w:t>:</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I. Quận Hoàn Kiếm: 01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 Tại các phố: Hàng Lược, Hàng Mã, Hàng Khoai, Hàng Rươi, và tuyến phố Bích họa Phùng Hưng (đoạn từ Lê Văn Linh tới hàng Cót) thuộc phường Hàng Mã.</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II. Quận Hai Bà Trưng: 02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 Chợ hoa khu vực sân khấu gạch trong khuôn viên Công viên Thống Nhất, diện tích khoảng 600m2.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 Khu đất trong công viên Tuổi Trẻ phía cổng Võ Thị Sáu và cổng đường Thanh Nhàn, diện tích khoảng 1.500m2.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III. Quận Đống Đa: 04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 Khu đất ao Thước Thợ - Số 44 phố Hoàng Cầu, phường Trung Liệt, diện tích khoảng 6.000m2.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 Trung tâm văn hóa - thông tin và thể thao - Số 22 phố Đặng Tiến Đông, phường Trung Liệt, diện tích khoảng 500m2.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 Công viên văn hóa Đống Đa - Số 4 Đặng Tiến Đông, phường Quang Trung, diện tích khoảng 500m2.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7. Tuyến phố Cầu Mới - Tuyến phố Cầu Mới, phường Ngã Tư Sở, diện tích khoảng 1.000m2.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IV. Quận Cầu Giấy: 03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8. Sân chung cư 34T phố Hoàng Đạo Thúy, phường Trung Hòa, diện tích 700m2.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9. Sân cụm nhà chung cư N05 phố Hoàng Đạo Thúy, phường Trung Hòa, diện tích khoảng 500m2.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10. Vỉa hè phố Hoàng Ngân kéo dài (cạnh công viên Hồ điều hòa Thanh Xuân), phường Trung Hòa, diện tích khoảng 2.000m2.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V. Quận Hà Đông: 09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lastRenderedPageBreak/>
        <w:t>11. Vườn hoa bờ phải sông Nhuệ đoạn từ trường THPT Lê Quý Đôn đến Cầu Đen cách nút giao thông Cầu Đen 20m, phường Nguyễn Trãi, diện tích 800m2.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12. Vỉa hè đường Nhuệ Giang (từ cổng trường THPT Lê Quý Đôn đến QL6 - phía đầu cầu trắng), phường Yết Kiêu, diện tích 343,8m2.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13. Một phần khu vực vỉa hè phố Cầu Đơ và đường kết nối trung tâm hành chính với ngã tư đường Hà Trì - Văn Phú - Phú La, phường Hà Cầu, diện tích 1.351,8m2.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14. Khu vực đường nội bộ khu đấu giá 2,8ha kết hợp khu Dự án điểm tiểu thủ công nghiệp làng nghề, phường Vạn Phúc, diện tích 405m2.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15. Quỹ đất thuộc Dự án điểm tiểu thủ công nghiệp làng nghề phía Khách sạn Wyndham, phía ngân hàng VCB; Vỉa hè hai bên đường nội bộ thuộc dự án điểm tiểu thủ công nghiệp làng nghề (vỉa hè gạch xanh) mặt trước hướng đường Tố Hữu, phường Vạn Phúc, diện tích 7.245m2.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16. Vỉa hè khu vực Ao Rum (Cầu Cong), phường Vạn Phúc, diện tích 726m2.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17. Quỹ đất quảng trường cây xanh đối diện cổng làng nghề Vạn Phúc, phường Vạn Phúc, diện tích 1.613,6m2.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18. Hai bên Vỉa hè đường nội bộ thuộc Dự án Khu nhà ở Ngân Hà (vỉa hè gạch xanh) mặt trước hướng đường Tố Hữu, phường Vạn Phúc, diện tích 709m2.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19. Hai bên vỉa hè đường nội bộ thuộc dự án khu nhà ở Him Lam mặt trước hướng đường Nguyễn Thanh Bình, phường Vạn Phúc, diện tích 734m2.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VI. Quận Thanh Xuân: 04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20. Công viên Thanh Xuân (tại khu đất đường phía Tây Bắc), phường Nhân Chính, diện tích khoảng 17.000m2.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21. Khu vực sân công cộng, đầu ngõ 64 đường Kim Giang, phường Kim Giang, diện tích 300m2.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22. Khu vực hồ Hạ đình, phường Hạ Đình, diện tích khoảng 450m2.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23. Khu vực ngõ 460 Khương Đình, diện tích khoảng 1.000m2.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VII. Bắc Từ Liêm: 07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lastRenderedPageBreak/>
        <w:t>24. Vị trí tại công viên Hòa Bình (phía cổng con Hạc), phường Xuân Đỉnh, diện tích khoảng 1.500m2.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25. Đoạn cuối tuyến trục đường Tây Thăng Long, phường Tây Tựu, diện tích khoảng 7.200m2.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26. Sân chơi tổ dân phố số 7 (địa chỉ: 101 đường Xuân La), phường Xuân Tảo, diện tích khoảng 1.200m2.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27. Nhà văn hóa số 8 (địa chỉ: Đường Hoàng Minh Thảo), phường Xuân Tảo, diện tích khoảng 500m2.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28. Ô đất N02-NG (địa chỉ: Đường Xuân Tảo, TDP số 13), phường Xuân Tảo, diện tích khoảng 2.000m2.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29. Sân vui chơi tổ dân phố Nhật Tảo 3, phường Đông Ngạc , diện tích khoảng 700m2.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30. Vườn quất dốc Hóa Chất TDP Nhật Tảo 1, phường Đông Ngạc (khu vực một mặt là đường An Dương Vương giáp ranh phường Phú Thượng, quận Tây Hồ), diện tích khoảng 1.000m2.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VIII. Quận Nam Từ Liêm: 02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31. Khu vực Quảng trường phía trước cổng sân vận động quốc gia Mỹ Đình, phường Mỹ Đình 1, diện tích khoảng 10.000m2.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32. Khu vực vị trí ô đất ký hiệu X2, phường Mễ Trì, diện tích khoảng 10.000m2.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IX. Quận Long Biên: 03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33. Khu đất thuộc ô quy hoạch E.6/NO2, E.6/CXKO; E.6/NO4; G.2/P2; G.2/P3; G.1/CN3, phường Long Biên, diện tích khoảng 26.000m2.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34. Khu đất thuộc ô quy hoạch C.2/CQ1: từ phố Trần Văn Trà đến Trụ sở của HUD, dài 154m, phường Đức Giang, diện tích khoảng 11.800m2.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35. Khu đất thuộc ô quy hoạch E.3/CCKO1 - phường Bồ Đề: Mặt đường Hồng Tiến (hiện trạng đất trống, đã GPMB, chưa thực hiện dự án), diện tích khoảng 5.300m2.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 Quận Hoàng Mai: 03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lastRenderedPageBreak/>
        <w:t>36. Khu hồ Đền Lừ, phường Hoàng Văn Thụ, diện tích khoảng 5.200m2.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37. Tuyến đường phía đông trụ sở UBND quận Hoàng Mai, thuộc phường Yên Sở và phường Thịnh Liệt, diện tích khoảng 7.000m2.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38. Khu đất quy hoạch dự án bến xe khách Yên Sở, phường Yên Sở, diện tích 27.577,3m2.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XI. Quận Tây Hồ: 06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39. Khu vực vỉa hè phố Vũ Tuấn Chiêu, phường Nhật Tân, diện tích khoảng 800m2.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40. Hai bên vỉa hè tuyến phố Tứ Liên giáp đường 5m Âu Cơ đến hai bên vỉa hè tuyến phố Tứ Liên giáp đường đê bối, phường Tứ Liên, diện tích khoảng 1.000m2.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41. Khu vực chợ Hoa Quảng An, phường Quảng An, diện tích khoảng 1.000m2.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42. Nhánh D dự án xây dựng đường Văn Cao - Hồ Tây, phường Thụy Khuê, diện tích 980m2.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43. Tuyến đường 40m Nam Thăng Long: Điểm đầu từ vòng xuyến cầu Nhật Tân, bên phải đường, hướng đi Đông Ngạc đến Ngõ 409 đường An Dương Vương, phường Phú Thượng, diện tích khoảng 9.100m2.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44. Sân Trung tâm Văn hóa, Thông tin - Thể thao quận và vỉa hè đường Võ Chí Công (cổng Trung tâm Văn hóa, Thông tin - Thể thao quận số 99 đường Võ Chí Công), phường Xuân La, diện tích khoảng 300m2.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XII. Huyện Ba Vì: 01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45. Tại đường nối QL 32 với đường tránh Quốc lộ 32, thị trấn Tây Đằng, diện tích khoảng 4.800m2.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XIII. Huyện Chương Mỹ: 01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46. Khu Lộc Ninh, Cụm Công nghiệp Ngọc Sơn, thị trấn Chúc Sơn, huyện Chương Mỹ (đối diện siêu thị Lan Chi), diện tích khoảng 4.000m2.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XIV. Huyện Đông Anh: 03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47. Khu vực trung tâm thương mại thuộc các tổ dân phố 3,4 thị trấn Đông Anh, diện tích khoảng 5.000m2.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lastRenderedPageBreak/>
        <w:t>48. Dọc 2 bên đường Hùng Sơn (Trục đường nối từ đường Cao Lỗ xuống làng Phúc Lộc), xã Uy Nỗ.</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49. Trước cổng chợ đầu mối Bắc Thăng Long từ trụ 23-32 thuộc thôn Cổ Điển, xã Hải Bối, diện tích khoảng 6.000m2.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XV. Huyện Gia Lâm: 03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50. Khu 31 ha, thị trấn Trâu Quỳ, Khu Công Viên hồ điều hòa (trên các tuyến phố Thuận An, Nguyễn Mậu Tài), diện tích khoảng 3.000m2.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51. Tuyến phố Đặng Công Chất, diện tích khoảng 5.000m2.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52. Khuôn viên quanh đường ĐX3, Khu đô thị Đặng Xá, xã Đặng Xá, diện tích khoảng 3.500m2.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XVI. Huyện Đan Phượng: 01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53. Đoạn đường giao thông nội khu đấu giá quyền sử dụng đất từ Vườn hoa 19/5 phố Tây Sơn giáp quốc lộ 32 đến điểm cuối ngã tư khu Đìa Đừng, thị trấn Phùng (phía sau huyện ủy Đan Phượng), diện tích khoảng 5.600m2.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XVII. Huyện Mê Linh: 01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54. Chợ hoa xã Mê Linh (nằm trên trục đường QL 23B đoạn qua địa phận xã Mê Linh), diện tích khoảng 1.500m2.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XVIII. Huyện Quốc Oai: 01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55. Khu đất đấu giá ĐG 03, thị trấn Quốc Oai, trên trục đường Bắc Nam, thị trấn sinh thái Quốc Oai, diện tích khoảng 6.500m2.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XIX. Huyện Phú Xuyên: 01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56. Nhà Văn hóa huyện Phú Xuyên, thị trấn Phú Xuyên, diện tích khoảng 500m2.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XX. Huyện Thanh Trì: 05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57. Khu vực trong khuôn viên chợ Cầu Bươu, tiếp giáp mặt đường Phan Trọng Tuệ, xã Tả Thanh Oai, diện tích khoảng 3.700m2.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58. Khu vực đường Vũ Lăng đoạn từ Công ty cổ phần Vinafco đến ngã tư giao với đường vào UBND xã Ngũ Hiệp và hầm chui cao tốc, xã Ngũ Hiệp, diện tích khoảng 3.000m2.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lastRenderedPageBreak/>
        <w:t>59. Khu vực ngã tư đường Đại Hưng và đường Liên Ninh - Đại Áng - Tả Thanh Oai, xã Đại Áng, diện tích khoảng 4.750m2.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60. Khu vực phía đông đường đôi tiếp giáp từ Nhà Văn hóa đến Sân thể thao thuộc Trung tâm Văn hóa Thông tin và Thể thao huyện; đường Cổ Điển từ ngã tư cắt với đường Vũ Lăng đến ngã ba cắt với đường Quang Lai và ngõ 405 đường Ngọc Hồi, thị trấn Văn Điển, diện tích khoảng 3.000m2.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61. Khu vực dọc đường Phạm Tu đối diện Nhà máy xử lý nước thải Yên Xá thuộc xứ đồng Giếng - cửa Trại, xã Thanh Liệt, diện tích khoảng 8.000m2.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XXI. Huyện Thường Tín: 02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62. Nhà Văn hóa thôn Đông Thai, xã Vân Tảo, diện tích khoảng 4.800m2.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63. Từ đường vào và vòng quanh sân vận động Phủ Thường; Đường Từ Bá Cơ, thị trấn Thường Tín, diện tích khoảng 1.300m2.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XXII. Huyện Thanh Oai: 03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64. Sân vận động xã Bình Minh, diện tích khoảng 3.100m2.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65. Sân nhà thi đấu - Trung tâm văn hóa thông tin và thể thao huyện, thị trấn Kim Bài, diện tích khoảng 2.500m2.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66. Sân bê tông cạnh UBND xã Tam Hưng, xã Tam Hưng, diện tích khoảng 2.500m2.</w:t>
      </w:r>
    </w:p>
    <w:p w:rsidR="00F63E2F" w:rsidRPr="00F63E2F" w:rsidRDefault="00F63E2F" w:rsidP="00F63E2F">
      <w:pPr>
        <w:spacing w:line="360" w:lineRule="auto"/>
        <w:rPr>
          <w:rFonts w:ascii="Times New Roman" w:hAnsi="Times New Roman" w:cs="Times New Roman"/>
          <w:b/>
          <w:bCs/>
          <w:sz w:val="28"/>
          <w:szCs w:val="28"/>
        </w:rPr>
      </w:pPr>
      <w:r w:rsidRPr="00F63E2F">
        <w:rPr>
          <w:rFonts w:ascii="Times New Roman" w:hAnsi="Times New Roman" w:cs="Times New Roman"/>
          <w:b/>
          <w:bCs/>
          <w:sz w:val="28"/>
          <w:szCs w:val="28"/>
        </w:rPr>
        <w:t>XXIII. Thị xã Sơn Tây: 04 điểm.</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67. Chợ hoa trung tâm thị xã (khu vực vỉa hè 02 bên đoạn Đường trục phát triển thị xã Sơn Tây), phường Viên Sơn, diện tích khoảng 5.000m2.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68. Chợ hoa phường Xuân Khanh: Hè đường Ngã ba vườn hoa Xuân Khanh (vỉa hè đường Hữu Nghị), phường Xuân Khanh, diện tích khoảng 300m2.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69. Chợ hoa xã Xuân Sơn, diện tích khoảng 5.000m2.</w:t>
      </w:r>
    </w:p>
    <w:p w:rsidR="00F63E2F" w:rsidRPr="00F63E2F" w:rsidRDefault="00F63E2F" w:rsidP="00F63E2F">
      <w:pPr>
        <w:spacing w:line="360" w:lineRule="auto"/>
        <w:rPr>
          <w:rFonts w:ascii="Times New Roman" w:hAnsi="Times New Roman" w:cs="Times New Roman"/>
          <w:sz w:val="28"/>
          <w:szCs w:val="28"/>
        </w:rPr>
      </w:pPr>
      <w:r w:rsidRPr="00F63E2F">
        <w:rPr>
          <w:rFonts w:ascii="Times New Roman" w:hAnsi="Times New Roman" w:cs="Times New Roman"/>
          <w:sz w:val="28"/>
          <w:szCs w:val="28"/>
        </w:rPr>
        <w:t>70. Chợ bán các mặt hàng nông sản phường Trung Sơn Trầm (khu vực đất công đối diện chợ Trung Sơn Trầm), diện tích khoảng 1.500m2.</w:t>
      </w:r>
    </w:p>
    <w:p w:rsidR="00F33B46" w:rsidRPr="00F63E2F" w:rsidRDefault="00F33B46" w:rsidP="00F63E2F">
      <w:pPr>
        <w:spacing w:line="360" w:lineRule="auto"/>
        <w:rPr>
          <w:rFonts w:ascii="Times New Roman" w:hAnsi="Times New Roman" w:cs="Times New Roman"/>
          <w:sz w:val="28"/>
          <w:szCs w:val="28"/>
        </w:rPr>
      </w:pPr>
    </w:p>
    <w:sectPr w:rsidR="00F33B46" w:rsidRPr="00F63E2F" w:rsidSect="00E167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46"/>
    <w:rsid w:val="0078792A"/>
    <w:rsid w:val="00E16722"/>
    <w:rsid w:val="00F33B46"/>
    <w:rsid w:val="00F63E2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73EE50A"/>
  <w15:chartTrackingRefBased/>
  <w15:docId w15:val="{CC767A44-F6EA-E741-881C-98E72345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3B4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3B46"/>
    <w:rPr>
      <w:rFonts w:ascii="Times New Roman" w:eastAsia="Times New Roman" w:hAnsi="Times New Roman" w:cs="Times New Roman"/>
      <w:b/>
      <w:bCs/>
      <w:sz w:val="27"/>
      <w:szCs w:val="27"/>
    </w:rPr>
  </w:style>
  <w:style w:type="character" w:customStyle="1" w:styleId="html-span">
    <w:name w:val="html-span"/>
    <w:basedOn w:val="DefaultParagraphFont"/>
    <w:rsid w:val="00F33B46"/>
  </w:style>
  <w:style w:type="paragraph" w:styleId="NormalWeb">
    <w:name w:val="Normal (Web)"/>
    <w:basedOn w:val="Normal"/>
    <w:uiPriority w:val="99"/>
    <w:semiHidden/>
    <w:unhideWhenUsed/>
    <w:rsid w:val="00F63E2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241110">
      <w:bodyDiv w:val="1"/>
      <w:marLeft w:val="0"/>
      <w:marRight w:val="0"/>
      <w:marTop w:val="0"/>
      <w:marBottom w:val="0"/>
      <w:divBdr>
        <w:top w:val="none" w:sz="0" w:space="0" w:color="auto"/>
        <w:left w:val="none" w:sz="0" w:space="0" w:color="auto"/>
        <w:bottom w:val="none" w:sz="0" w:space="0" w:color="auto"/>
        <w:right w:val="none" w:sz="0" w:space="0" w:color="auto"/>
      </w:divBdr>
    </w:div>
    <w:div w:id="1134248810">
      <w:bodyDiv w:val="1"/>
      <w:marLeft w:val="0"/>
      <w:marRight w:val="0"/>
      <w:marTop w:val="0"/>
      <w:marBottom w:val="0"/>
      <w:divBdr>
        <w:top w:val="none" w:sz="0" w:space="0" w:color="auto"/>
        <w:left w:val="none" w:sz="0" w:space="0" w:color="auto"/>
        <w:bottom w:val="none" w:sz="0" w:space="0" w:color="auto"/>
        <w:right w:val="none" w:sz="0" w:space="0" w:color="auto"/>
      </w:divBdr>
      <w:divsChild>
        <w:div w:id="1262953970">
          <w:marLeft w:val="0"/>
          <w:marRight w:val="0"/>
          <w:marTop w:val="0"/>
          <w:marBottom w:val="0"/>
          <w:divBdr>
            <w:top w:val="none" w:sz="0" w:space="0" w:color="auto"/>
            <w:left w:val="none" w:sz="0" w:space="0" w:color="auto"/>
            <w:bottom w:val="none" w:sz="0" w:space="0" w:color="auto"/>
            <w:right w:val="none" w:sz="0" w:space="0" w:color="auto"/>
          </w:divBdr>
          <w:divsChild>
            <w:div w:id="479689792">
              <w:marLeft w:val="0"/>
              <w:marRight w:val="0"/>
              <w:marTop w:val="0"/>
              <w:marBottom w:val="0"/>
              <w:divBdr>
                <w:top w:val="none" w:sz="0" w:space="0" w:color="auto"/>
                <w:left w:val="none" w:sz="0" w:space="0" w:color="auto"/>
                <w:bottom w:val="none" w:sz="0" w:space="0" w:color="auto"/>
                <w:right w:val="none" w:sz="0" w:space="0" w:color="auto"/>
              </w:divBdr>
              <w:divsChild>
                <w:div w:id="120420781">
                  <w:marLeft w:val="0"/>
                  <w:marRight w:val="0"/>
                  <w:marTop w:val="0"/>
                  <w:marBottom w:val="0"/>
                  <w:divBdr>
                    <w:top w:val="none" w:sz="0" w:space="0" w:color="auto"/>
                    <w:left w:val="none" w:sz="0" w:space="0" w:color="auto"/>
                    <w:bottom w:val="none" w:sz="0" w:space="0" w:color="auto"/>
                    <w:right w:val="none" w:sz="0" w:space="0" w:color="auto"/>
                  </w:divBdr>
                  <w:divsChild>
                    <w:div w:id="1456800415">
                      <w:marLeft w:val="0"/>
                      <w:marRight w:val="0"/>
                      <w:marTop w:val="0"/>
                      <w:marBottom w:val="0"/>
                      <w:divBdr>
                        <w:top w:val="none" w:sz="0" w:space="0" w:color="auto"/>
                        <w:left w:val="none" w:sz="0" w:space="0" w:color="auto"/>
                        <w:bottom w:val="none" w:sz="0" w:space="0" w:color="auto"/>
                        <w:right w:val="none" w:sz="0" w:space="0" w:color="auto"/>
                      </w:divBdr>
                      <w:divsChild>
                        <w:div w:id="335694405">
                          <w:marLeft w:val="0"/>
                          <w:marRight w:val="0"/>
                          <w:marTop w:val="0"/>
                          <w:marBottom w:val="0"/>
                          <w:divBdr>
                            <w:top w:val="none" w:sz="0" w:space="0" w:color="auto"/>
                            <w:left w:val="none" w:sz="0" w:space="0" w:color="auto"/>
                            <w:bottom w:val="none" w:sz="0" w:space="0" w:color="auto"/>
                            <w:right w:val="none" w:sz="0" w:space="0" w:color="auto"/>
                          </w:divBdr>
                          <w:divsChild>
                            <w:div w:id="1849784596">
                              <w:marLeft w:val="0"/>
                              <w:marRight w:val="0"/>
                              <w:marTop w:val="0"/>
                              <w:marBottom w:val="0"/>
                              <w:divBdr>
                                <w:top w:val="none" w:sz="0" w:space="0" w:color="auto"/>
                                <w:left w:val="none" w:sz="0" w:space="0" w:color="auto"/>
                                <w:bottom w:val="none" w:sz="0" w:space="0" w:color="auto"/>
                                <w:right w:val="none" w:sz="0" w:space="0" w:color="auto"/>
                              </w:divBdr>
                              <w:divsChild>
                                <w:div w:id="1173301490">
                                  <w:marLeft w:val="0"/>
                                  <w:marRight w:val="0"/>
                                  <w:marTop w:val="0"/>
                                  <w:marBottom w:val="0"/>
                                  <w:divBdr>
                                    <w:top w:val="single" w:sz="24" w:space="0" w:color="auto"/>
                                    <w:left w:val="single" w:sz="24" w:space="0" w:color="auto"/>
                                    <w:bottom w:val="single" w:sz="24" w:space="0" w:color="auto"/>
                                    <w:right w:val="single" w:sz="24" w:space="0" w:color="auto"/>
                                  </w:divBdr>
                                  <w:divsChild>
                                    <w:div w:id="10022707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35659">
              <w:marLeft w:val="0"/>
              <w:marRight w:val="0"/>
              <w:marTop w:val="0"/>
              <w:marBottom w:val="0"/>
              <w:divBdr>
                <w:top w:val="none" w:sz="0" w:space="0" w:color="auto"/>
                <w:left w:val="none" w:sz="0" w:space="0" w:color="auto"/>
                <w:bottom w:val="none" w:sz="0" w:space="0" w:color="auto"/>
                <w:right w:val="none" w:sz="0" w:space="0" w:color="auto"/>
              </w:divBdr>
              <w:divsChild>
                <w:div w:id="1513908344">
                  <w:marLeft w:val="0"/>
                  <w:marRight w:val="0"/>
                  <w:marTop w:val="0"/>
                  <w:marBottom w:val="0"/>
                  <w:divBdr>
                    <w:top w:val="none" w:sz="0" w:space="0" w:color="auto"/>
                    <w:left w:val="none" w:sz="0" w:space="0" w:color="auto"/>
                    <w:bottom w:val="none" w:sz="0" w:space="0" w:color="auto"/>
                    <w:right w:val="none" w:sz="0" w:space="0" w:color="auto"/>
                  </w:divBdr>
                  <w:divsChild>
                    <w:div w:id="2147119725">
                      <w:marLeft w:val="0"/>
                      <w:marRight w:val="0"/>
                      <w:marTop w:val="0"/>
                      <w:marBottom w:val="0"/>
                      <w:divBdr>
                        <w:top w:val="none" w:sz="0" w:space="0" w:color="auto"/>
                        <w:left w:val="none" w:sz="0" w:space="0" w:color="auto"/>
                        <w:bottom w:val="none" w:sz="0" w:space="0" w:color="auto"/>
                        <w:right w:val="none" w:sz="0" w:space="0" w:color="auto"/>
                      </w:divBdr>
                      <w:divsChild>
                        <w:div w:id="2112628762">
                          <w:marLeft w:val="0"/>
                          <w:marRight w:val="0"/>
                          <w:marTop w:val="0"/>
                          <w:marBottom w:val="0"/>
                          <w:divBdr>
                            <w:top w:val="none" w:sz="0" w:space="0" w:color="auto"/>
                            <w:left w:val="none" w:sz="0" w:space="0" w:color="auto"/>
                            <w:bottom w:val="none" w:sz="0" w:space="0" w:color="auto"/>
                            <w:right w:val="none" w:sz="0" w:space="0" w:color="auto"/>
                          </w:divBdr>
                          <w:divsChild>
                            <w:div w:id="662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668111">
          <w:marLeft w:val="0"/>
          <w:marRight w:val="0"/>
          <w:marTop w:val="0"/>
          <w:marBottom w:val="0"/>
          <w:divBdr>
            <w:top w:val="none" w:sz="0" w:space="0" w:color="auto"/>
            <w:left w:val="none" w:sz="0" w:space="0" w:color="auto"/>
            <w:bottom w:val="none" w:sz="0" w:space="0" w:color="auto"/>
            <w:right w:val="none" w:sz="0" w:space="0" w:color="auto"/>
          </w:divBdr>
          <w:divsChild>
            <w:div w:id="706612794">
              <w:marLeft w:val="0"/>
              <w:marRight w:val="0"/>
              <w:marTop w:val="0"/>
              <w:marBottom w:val="0"/>
              <w:divBdr>
                <w:top w:val="none" w:sz="0" w:space="0" w:color="auto"/>
                <w:left w:val="none" w:sz="0" w:space="0" w:color="auto"/>
                <w:bottom w:val="none" w:sz="0" w:space="0" w:color="auto"/>
                <w:right w:val="none" w:sz="0" w:space="0" w:color="auto"/>
              </w:divBdr>
              <w:divsChild>
                <w:div w:id="5715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2024-12-28T02:18:00Z</dcterms:created>
  <dcterms:modified xsi:type="dcterms:W3CDTF">2024-12-30T04:51:00Z</dcterms:modified>
</cp:coreProperties>
</file>