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0D33" w:rsidRPr="00950D33" w:rsidRDefault="00950D33" w:rsidP="00950D33">
      <w:pPr>
        <w:shd w:val="clear" w:color="auto" w:fill="FFFFFF"/>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Phân hiệu trường Đại học Lâm nghiệp tại tỉnh Đồng Nai tiếp tục dành chỉ tiêu cho những thí sinh có nguyện vọng học tại VNUF2 được xét tuyển đợt bổ sung (đăng ký xét tuyển từ 19/9/2022 – 10/10/2022) như sau:</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40" w:type="dxa"/>
          <w:left w:w="40" w:type="dxa"/>
          <w:bottom w:w="40" w:type="dxa"/>
          <w:right w:w="40" w:type="dxa"/>
        </w:tblCellMar>
        <w:tblLook w:val="04A0" w:firstRow="1" w:lastRow="0" w:firstColumn="1" w:lastColumn="0" w:noHBand="0" w:noVBand="1"/>
      </w:tblPr>
      <w:tblGrid>
        <w:gridCol w:w="1080"/>
        <w:gridCol w:w="2682"/>
        <w:gridCol w:w="1024"/>
        <w:gridCol w:w="1024"/>
        <w:gridCol w:w="1916"/>
        <w:gridCol w:w="1618"/>
      </w:tblGrid>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00FF77"/>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b/>
                <w:bCs/>
                <w:color w:val="333333"/>
                <w:sz w:val="21"/>
                <w:szCs w:val="21"/>
              </w:rPr>
              <w:t>Mã ngành</w:t>
            </w:r>
          </w:p>
        </w:tc>
        <w:tc>
          <w:tcPr>
            <w:tcW w:w="3255" w:type="dxa"/>
            <w:tcBorders>
              <w:top w:val="outset" w:sz="6" w:space="0" w:color="auto"/>
              <w:left w:val="outset" w:sz="6" w:space="0" w:color="auto"/>
              <w:bottom w:val="outset" w:sz="6" w:space="0" w:color="auto"/>
              <w:right w:val="outset" w:sz="6" w:space="0" w:color="auto"/>
            </w:tcBorders>
            <w:shd w:val="clear" w:color="auto" w:fill="00FF77"/>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b/>
                <w:bCs/>
                <w:color w:val="333333"/>
                <w:sz w:val="21"/>
                <w:szCs w:val="21"/>
              </w:rPr>
              <w:t>Ngành Tuyển sinh</w:t>
            </w:r>
          </w:p>
        </w:tc>
        <w:tc>
          <w:tcPr>
            <w:tcW w:w="1140" w:type="dxa"/>
            <w:tcBorders>
              <w:top w:val="outset" w:sz="6" w:space="0" w:color="auto"/>
              <w:left w:val="outset" w:sz="6" w:space="0" w:color="auto"/>
              <w:bottom w:val="outset" w:sz="6" w:space="0" w:color="auto"/>
              <w:right w:val="outset" w:sz="6" w:space="0" w:color="auto"/>
            </w:tcBorders>
            <w:shd w:val="clear" w:color="auto" w:fill="00FF77"/>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b/>
                <w:bCs/>
                <w:color w:val="333333"/>
                <w:sz w:val="21"/>
                <w:szCs w:val="21"/>
              </w:rPr>
              <w:t>Xét điểm thi THPT</w:t>
            </w:r>
          </w:p>
        </w:tc>
        <w:tc>
          <w:tcPr>
            <w:tcW w:w="1140" w:type="dxa"/>
            <w:tcBorders>
              <w:top w:val="outset" w:sz="6" w:space="0" w:color="auto"/>
              <w:left w:val="outset" w:sz="6" w:space="0" w:color="auto"/>
              <w:bottom w:val="outset" w:sz="6" w:space="0" w:color="auto"/>
              <w:right w:val="outset" w:sz="6" w:space="0" w:color="auto"/>
            </w:tcBorders>
            <w:shd w:val="clear" w:color="auto" w:fill="00FF77"/>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b/>
                <w:bCs/>
                <w:color w:val="333333"/>
                <w:sz w:val="21"/>
                <w:szCs w:val="21"/>
              </w:rPr>
              <w:t>Xét học bạ THPT</w:t>
            </w:r>
          </w:p>
        </w:tc>
        <w:tc>
          <w:tcPr>
            <w:tcW w:w="2340" w:type="dxa"/>
            <w:tcBorders>
              <w:top w:val="outset" w:sz="6" w:space="0" w:color="auto"/>
              <w:left w:val="outset" w:sz="6" w:space="0" w:color="auto"/>
              <w:bottom w:val="outset" w:sz="6" w:space="0" w:color="auto"/>
              <w:right w:val="outset" w:sz="6" w:space="0" w:color="auto"/>
            </w:tcBorders>
            <w:shd w:val="clear" w:color="auto" w:fill="00FF77"/>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b/>
                <w:bCs/>
                <w:color w:val="333333"/>
                <w:sz w:val="21"/>
                <w:szCs w:val="21"/>
              </w:rPr>
              <w:t>Mã tổ hợp</w:t>
            </w:r>
          </w:p>
        </w:tc>
        <w:tc>
          <w:tcPr>
            <w:tcW w:w="1920" w:type="dxa"/>
            <w:tcBorders>
              <w:top w:val="outset" w:sz="6" w:space="0" w:color="auto"/>
              <w:left w:val="outset" w:sz="6" w:space="0" w:color="auto"/>
              <w:bottom w:val="outset" w:sz="6" w:space="0" w:color="auto"/>
              <w:right w:val="outset" w:sz="6" w:space="0" w:color="auto"/>
            </w:tcBorders>
            <w:shd w:val="clear" w:color="auto" w:fill="00FF77"/>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b/>
                <w:bCs/>
                <w:color w:val="333333"/>
                <w:sz w:val="21"/>
                <w:szCs w:val="21"/>
              </w:rPr>
              <w:t>Tên tổ hợp</w:t>
            </w: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7640101</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Thú y</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A01, B00, D01</w:t>
            </w:r>
          </w:p>
        </w:tc>
        <w:tc>
          <w:tcPr>
            <w:tcW w:w="192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 A00: Toán Học; Vật Lý; Hóa Học</w:t>
            </w:r>
          </w:p>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 A01: Toán Học; Vật Lý; Tiếng Anh</w:t>
            </w:r>
          </w:p>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 B00: Toán Học; Hóa Học; Sinh học</w:t>
            </w:r>
          </w:p>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 C15: Ngữ văn; Toán học; KHXH</w:t>
            </w:r>
          </w:p>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 D01: Ngữ văn; Toán học; Tiếng Anh</w:t>
            </w: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7620110</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Khoa học cây trồng</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15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A01, B00,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7620112</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Bảo vệ thực vật</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15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A01, B00,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7620205</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Lâm sinh</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15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B00, C15,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7620211</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Quản lí tài nguyên rừng</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15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B00, C15,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7549001</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Công nghệ chế biến lâm sản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15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A01, B00,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7580108</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Thiết kế nội thất</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15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A01, B00,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7850103</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Quản lí đất đai</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16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B00, C15,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7850101</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Quản lí tài nguyên &amp; Môi trường</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15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B00, C15,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7420201</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Công nghệ sinh học</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15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A01, B00,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7340301</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Kế toán</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16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A01, C15,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7340101</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Quản trị kinh doanh</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16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A01, C15,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r w:rsidR="00950D33" w:rsidRPr="00950D33" w:rsidTr="00950D33">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7850104</w:t>
            </w:r>
          </w:p>
        </w:tc>
        <w:tc>
          <w:tcPr>
            <w:tcW w:w="32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Du lịch sinh thái</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15 điểm</w:t>
            </w:r>
          </w:p>
        </w:tc>
        <w:tc>
          <w:tcPr>
            <w:tcW w:w="11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18 điểm</w:t>
            </w:r>
          </w:p>
        </w:tc>
        <w:tc>
          <w:tcPr>
            <w:tcW w:w="23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spacing w:after="105"/>
              <w:rPr>
                <w:rFonts w:ascii="Tahoma" w:eastAsia="Times New Roman" w:hAnsi="Tahoma" w:cs="Tahoma"/>
                <w:color w:val="333333"/>
                <w:sz w:val="21"/>
                <w:szCs w:val="21"/>
              </w:rPr>
            </w:pPr>
            <w:r w:rsidRPr="00950D33">
              <w:rPr>
                <w:rFonts w:ascii="Tahoma" w:eastAsia="Times New Roman" w:hAnsi="Tahoma" w:cs="Tahoma"/>
                <w:color w:val="333333"/>
                <w:sz w:val="21"/>
                <w:szCs w:val="21"/>
              </w:rPr>
              <w:t>A00, A01, C15, D01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50D33" w:rsidRPr="00950D33" w:rsidRDefault="00950D33" w:rsidP="00950D33">
            <w:pPr>
              <w:rPr>
                <w:rFonts w:ascii="Tahoma" w:eastAsia="Times New Roman" w:hAnsi="Tahoma" w:cs="Tahoma"/>
                <w:color w:val="333333"/>
                <w:sz w:val="21"/>
                <w:szCs w:val="21"/>
              </w:rPr>
            </w:pPr>
          </w:p>
        </w:tc>
      </w:tr>
    </w:tbl>
    <w:p w:rsidR="00950D33" w:rsidRPr="00950D33" w:rsidRDefault="00950D33" w:rsidP="00950D33">
      <w:pPr>
        <w:shd w:val="clear" w:color="auto" w:fill="FFFFFF"/>
        <w:spacing w:after="105"/>
        <w:rPr>
          <w:rFonts w:ascii="Tahoma" w:eastAsia="Times New Roman" w:hAnsi="Tahoma" w:cs="Tahoma"/>
          <w:color w:val="333333"/>
          <w:sz w:val="21"/>
          <w:szCs w:val="21"/>
        </w:rPr>
      </w:pPr>
      <w:r w:rsidRPr="00950D33">
        <w:rPr>
          <w:rFonts w:ascii="Tahoma" w:eastAsia="Times New Roman" w:hAnsi="Tahoma" w:cs="Tahoma"/>
          <w:b/>
          <w:bCs/>
          <w:color w:val="333333"/>
          <w:sz w:val="21"/>
          <w:szCs w:val="21"/>
        </w:rPr>
        <w:br/>
        <w:t>1. Điều kiện xét tuyển:</w:t>
      </w:r>
      <w:r w:rsidRPr="00950D33">
        <w:rPr>
          <w:rFonts w:ascii="Tahoma" w:eastAsia="Times New Roman" w:hAnsi="Tahoma" w:cs="Tahoma"/>
          <w:color w:val="333333"/>
          <w:sz w:val="21"/>
          <w:szCs w:val="21"/>
        </w:rPr>
        <w:br/>
      </w:r>
      <w:r w:rsidRPr="00950D33">
        <w:rPr>
          <w:rFonts w:ascii="Tahoma" w:eastAsia="Times New Roman" w:hAnsi="Tahoma" w:cs="Tahoma"/>
          <w:b/>
          <w:bCs/>
          <w:i/>
          <w:iCs/>
          <w:color w:val="333333"/>
          <w:sz w:val="21"/>
          <w:szCs w:val="21"/>
        </w:rPr>
        <w:t>1.1. Phương thức 1:</w:t>
      </w:r>
      <w:r w:rsidRPr="00950D33">
        <w:rPr>
          <w:rFonts w:ascii="Tahoma" w:eastAsia="Times New Roman" w:hAnsi="Tahoma" w:cs="Tahoma"/>
          <w:color w:val="333333"/>
          <w:sz w:val="21"/>
          <w:szCs w:val="21"/>
        </w:rPr>
        <w:t> Thí sinh dùng điểm thi kỳ thi Tốt nghiệp THPT để xét tuyển</w:t>
      </w:r>
      <w:r w:rsidRPr="00950D33">
        <w:rPr>
          <w:rFonts w:ascii="Tahoma" w:eastAsia="Times New Roman" w:hAnsi="Tahoma" w:cs="Tahoma"/>
          <w:color w:val="333333"/>
          <w:sz w:val="21"/>
          <w:szCs w:val="21"/>
        </w:rPr>
        <w:br/>
        <w:t>- Tốt nghiệp THPT;</w:t>
      </w:r>
      <w:r w:rsidRPr="00950D33">
        <w:rPr>
          <w:rFonts w:ascii="Tahoma" w:eastAsia="Times New Roman" w:hAnsi="Tahoma" w:cs="Tahoma"/>
          <w:color w:val="333333"/>
          <w:sz w:val="21"/>
          <w:szCs w:val="21"/>
        </w:rPr>
        <w:br/>
        <w:t>- Có điểm thi THPT các trong tổ hợp môn xét tuyển đạt ngưỡng đảm bảo chất lượng theo quy định của nhà trường.</w:t>
      </w:r>
      <w:r w:rsidRPr="00950D33">
        <w:rPr>
          <w:rFonts w:ascii="Tahoma" w:eastAsia="Times New Roman" w:hAnsi="Tahoma" w:cs="Tahoma"/>
          <w:color w:val="333333"/>
          <w:sz w:val="21"/>
          <w:szCs w:val="21"/>
        </w:rPr>
        <w:br/>
      </w:r>
      <w:r w:rsidRPr="00950D33">
        <w:rPr>
          <w:rFonts w:ascii="Tahoma" w:eastAsia="Times New Roman" w:hAnsi="Tahoma" w:cs="Tahoma"/>
          <w:color w:val="008000"/>
          <w:sz w:val="21"/>
          <w:szCs w:val="21"/>
        </w:rPr>
        <w:t>  Ví dụ: Thí sinh đăng ký xét tuyển ngành Quản lý tài nguyên rừng; lựa chọn tổ hợp xét tuyển là A00, thuộc khu vực 2NT</w:t>
      </w:r>
      <w:r w:rsidRPr="00950D33">
        <w:rPr>
          <w:rFonts w:ascii="Tahoma" w:eastAsia="Times New Roman" w:hAnsi="Tahoma" w:cs="Tahoma"/>
          <w:color w:val="333333"/>
          <w:sz w:val="21"/>
          <w:szCs w:val="21"/>
        </w:rPr>
        <w:br/>
      </w:r>
      <w:r w:rsidRPr="00950D33">
        <w:rPr>
          <w:rFonts w:ascii="Tahoma" w:eastAsia="Times New Roman" w:hAnsi="Tahoma" w:cs="Tahoma"/>
          <w:color w:val="008000"/>
          <w:sz w:val="21"/>
          <w:szCs w:val="21"/>
        </w:rPr>
        <w:t>  Điểm xét tuyển = Điểm thi TN THPT môn (Toán + Lý + Hóa) + 0,5 (điểm Ưu tiên khu vực) &gt;=15 điểm</w:t>
      </w:r>
      <w:r w:rsidRPr="00950D33">
        <w:rPr>
          <w:rFonts w:ascii="Tahoma" w:eastAsia="Times New Roman" w:hAnsi="Tahoma" w:cs="Tahoma"/>
          <w:color w:val="333333"/>
          <w:sz w:val="21"/>
          <w:szCs w:val="21"/>
        </w:rPr>
        <w:br/>
      </w:r>
      <w:r w:rsidRPr="00950D33">
        <w:rPr>
          <w:rFonts w:ascii="Tahoma" w:eastAsia="Times New Roman" w:hAnsi="Tahoma" w:cs="Tahoma"/>
          <w:b/>
          <w:bCs/>
          <w:i/>
          <w:iCs/>
          <w:color w:val="333333"/>
          <w:sz w:val="21"/>
          <w:szCs w:val="21"/>
        </w:rPr>
        <w:t>1.2. Phương thức 2:</w:t>
      </w:r>
      <w:r w:rsidRPr="00950D33">
        <w:rPr>
          <w:rFonts w:ascii="Tahoma" w:eastAsia="Times New Roman" w:hAnsi="Tahoma" w:cs="Tahoma"/>
          <w:i/>
          <w:iCs/>
          <w:color w:val="333333"/>
          <w:sz w:val="21"/>
          <w:szCs w:val="21"/>
        </w:rPr>
        <w:t> </w:t>
      </w:r>
      <w:r w:rsidRPr="00950D33">
        <w:rPr>
          <w:rFonts w:ascii="Tahoma" w:eastAsia="Times New Roman" w:hAnsi="Tahoma" w:cs="Tahoma"/>
          <w:color w:val="333333"/>
          <w:sz w:val="21"/>
          <w:szCs w:val="21"/>
        </w:rPr>
        <w:t>Thí sinh dùng kết quả học tập bậc THPT để xét tuyển</w:t>
      </w:r>
      <w:r w:rsidRPr="00950D33">
        <w:rPr>
          <w:rFonts w:ascii="Tahoma" w:eastAsia="Times New Roman" w:hAnsi="Tahoma" w:cs="Tahoma"/>
          <w:color w:val="333333"/>
          <w:sz w:val="21"/>
          <w:szCs w:val="21"/>
        </w:rPr>
        <w:br/>
        <w:t>- Tốt nghiệp THPT;</w:t>
      </w:r>
      <w:r w:rsidRPr="00950D33">
        <w:rPr>
          <w:rFonts w:ascii="Tahoma" w:eastAsia="Times New Roman" w:hAnsi="Tahoma" w:cs="Tahoma"/>
          <w:color w:val="333333"/>
          <w:sz w:val="21"/>
          <w:szCs w:val="21"/>
        </w:rPr>
        <w:br/>
        <w:t>- Đạt ít nhất 1 trong 3 tiêu chí sau:</w:t>
      </w:r>
      <w:r w:rsidRPr="00950D33">
        <w:rPr>
          <w:rFonts w:ascii="Tahoma" w:eastAsia="Times New Roman" w:hAnsi="Tahoma" w:cs="Tahoma"/>
          <w:color w:val="333333"/>
          <w:sz w:val="21"/>
          <w:szCs w:val="21"/>
        </w:rPr>
        <w:br/>
        <w:t>+ Điểm trung bình chung của tổ hợp các môn học dùng để xét tuyển học kỳ I năm lớp 12 đạt từ 6,0 điểm trở lên (theo thang điểm 10);</w:t>
      </w:r>
      <w:r w:rsidRPr="00950D33">
        <w:rPr>
          <w:rFonts w:ascii="Tahoma" w:eastAsia="Times New Roman" w:hAnsi="Tahoma" w:cs="Tahoma"/>
          <w:color w:val="333333"/>
          <w:sz w:val="21"/>
          <w:szCs w:val="21"/>
        </w:rPr>
        <w:br/>
      </w:r>
      <w:r w:rsidRPr="00950D33">
        <w:rPr>
          <w:rFonts w:ascii="Tahoma" w:eastAsia="Times New Roman" w:hAnsi="Tahoma" w:cs="Tahoma"/>
          <w:color w:val="008000"/>
          <w:sz w:val="21"/>
          <w:szCs w:val="21"/>
        </w:rPr>
        <w:t>  Ví dụ: Thí sinh đăng ký xét tuyển ngành Thiết kế nội thất; lựa chọn tổ hợp xét tuyển là A01, thuộc khu vực 2.</w:t>
      </w:r>
      <w:r w:rsidRPr="00950D33">
        <w:rPr>
          <w:rFonts w:ascii="Tahoma" w:eastAsia="Times New Roman" w:hAnsi="Tahoma" w:cs="Tahoma"/>
          <w:color w:val="333333"/>
          <w:sz w:val="21"/>
          <w:szCs w:val="21"/>
        </w:rPr>
        <w:br/>
      </w:r>
      <w:r w:rsidRPr="00950D33">
        <w:rPr>
          <w:rFonts w:ascii="Tahoma" w:eastAsia="Times New Roman" w:hAnsi="Tahoma" w:cs="Tahoma"/>
          <w:color w:val="008000"/>
          <w:sz w:val="21"/>
          <w:szCs w:val="21"/>
        </w:rPr>
        <w:t>  Điểm xét tuyển = Điểm học kỳ 1 lớp 12 môn (Toán + Lý + Tiếng anh) + 0,25 (điểm ưu tiên khu vực) &gt;= 18 điểm</w:t>
      </w:r>
      <w:r w:rsidRPr="00950D33">
        <w:rPr>
          <w:rFonts w:ascii="Tahoma" w:eastAsia="Times New Roman" w:hAnsi="Tahoma" w:cs="Tahoma"/>
          <w:color w:val="333333"/>
          <w:sz w:val="21"/>
          <w:szCs w:val="21"/>
        </w:rPr>
        <w:br/>
      </w:r>
      <w:r w:rsidRPr="00950D33">
        <w:rPr>
          <w:rFonts w:ascii="Tahoma" w:eastAsia="Times New Roman" w:hAnsi="Tahoma" w:cs="Tahoma"/>
          <w:color w:val="333333"/>
          <w:sz w:val="21"/>
          <w:szCs w:val="21"/>
        </w:rPr>
        <w:lastRenderedPageBreak/>
        <w:t>+ Điểm trung bình chung của tổ hợp các môn học dùng để xét tuyển cả năm lớp 12 đạt từ 6,0 điểm trở lên (theo thang điểm 10);</w:t>
      </w:r>
      <w:r w:rsidRPr="00950D33">
        <w:rPr>
          <w:rFonts w:ascii="Tahoma" w:eastAsia="Times New Roman" w:hAnsi="Tahoma" w:cs="Tahoma"/>
          <w:color w:val="333333"/>
          <w:sz w:val="21"/>
          <w:szCs w:val="21"/>
        </w:rPr>
        <w:br/>
      </w:r>
      <w:r w:rsidRPr="00950D33">
        <w:rPr>
          <w:rFonts w:ascii="Tahoma" w:eastAsia="Times New Roman" w:hAnsi="Tahoma" w:cs="Tahoma"/>
          <w:color w:val="008000"/>
          <w:sz w:val="21"/>
          <w:szCs w:val="21"/>
        </w:rPr>
        <w:t>  Ví dụ: Thí sinh đăng ký xét tuyển ngành Quản trị kinh doanh; lựa chọn tổ hợp xét tuyển là C15, thuộc khu vực 1.</w:t>
      </w:r>
      <w:r w:rsidRPr="00950D33">
        <w:rPr>
          <w:rFonts w:ascii="Tahoma" w:eastAsia="Times New Roman" w:hAnsi="Tahoma" w:cs="Tahoma"/>
          <w:color w:val="333333"/>
          <w:sz w:val="21"/>
          <w:szCs w:val="21"/>
        </w:rPr>
        <w:br/>
      </w:r>
      <w:r w:rsidRPr="00950D33">
        <w:rPr>
          <w:rFonts w:ascii="Tahoma" w:eastAsia="Times New Roman" w:hAnsi="Tahoma" w:cs="Tahoma"/>
          <w:color w:val="008000"/>
          <w:sz w:val="21"/>
          <w:szCs w:val="21"/>
        </w:rPr>
        <w:t>  Điểm xét tuyển = Điểm cả năm lớp 12 môn (Toán + Văn + (Lịch sử + Địa lý + GDCD)/3) + 0 (điểm ưu tiên khu vực) &gt;= 18 điểm</w:t>
      </w:r>
      <w:r w:rsidRPr="00950D33">
        <w:rPr>
          <w:rFonts w:ascii="Tahoma" w:eastAsia="Times New Roman" w:hAnsi="Tahoma" w:cs="Tahoma"/>
          <w:color w:val="333333"/>
          <w:sz w:val="21"/>
          <w:szCs w:val="21"/>
        </w:rPr>
        <w:br/>
        <w:t>+ Trung bình chung của tổng điểm trung bình chung học tập lớp 10, 11, 12 đạt từ 6,0 điểm trở lên (theo thang điểm 10).</w:t>
      </w:r>
      <w:r w:rsidRPr="00950D33">
        <w:rPr>
          <w:rFonts w:ascii="Tahoma" w:eastAsia="Times New Roman" w:hAnsi="Tahoma" w:cs="Tahoma"/>
          <w:color w:val="333333"/>
          <w:sz w:val="21"/>
          <w:szCs w:val="21"/>
        </w:rPr>
        <w:br/>
      </w:r>
      <w:r w:rsidRPr="00950D33">
        <w:rPr>
          <w:rFonts w:ascii="Tahoma" w:eastAsia="Times New Roman" w:hAnsi="Tahoma" w:cs="Tahoma"/>
          <w:color w:val="008000"/>
          <w:sz w:val="21"/>
          <w:szCs w:val="21"/>
        </w:rPr>
        <w:t>  Ví dụ: Thí sinh đăng ký xét tuyển ngành Quản lý đất đai, thuộc khu vực 3.</w:t>
      </w:r>
      <w:r w:rsidRPr="00950D33">
        <w:rPr>
          <w:rFonts w:ascii="Tahoma" w:eastAsia="Times New Roman" w:hAnsi="Tahoma" w:cs="Tahoma"/>
          <w:color w:val="333333"/>
          <w:sz w:val="21"/>
          <w:szCs w:val="21"/>
        </w:rPr>
        <w:br/>
      </w:r>
      <w:r w:rsidRPr="00950D33">
        <w:rPr>
          <w:rFonts w:ascii="Tahoma" w:eastAsia="Times New Roman" w:hAnsi="Tahoma" w:cs="Tahoma"/>
          <w:color w:val="008000"/>
          <w:sz w:val="21"/>
          <w:szCs w:val="21"/>
        </w:rPr>
        <w:t>  Điểm xét tuyển = Điểm trung bình tất cả các môn (năm lớp 10 +năm lớp 11+ năm lớp 12) + 0,75  (điểm ưu tiên khu vực) &gt;= 18 điểm</w:t>
      </w:r>
      <w:r w:rsidRPr="00950D33">
        <w:rPr>
          <w:rFonts w:ascii="Tahoma" w:eastAsia="Times New Roman" w:hAnsi="Tahoma" w:cs="Tahoma"/>
          <w:color w:val="333333"/>
          <w:sz w:val="21"/>
          <w:szCs w:val="21"/>
        </w:rPr>
        <w:br/>
      </w:r>
      <w:r w:rsidRPr="00950D33">
        <w:rPr>
          <w:rFonts w:ascii="Tahoma" w:eastAsia="Times New Roman" w:hAnsi="Tahoma" w:cs="Tahoma"/>
          <w:color w:val="333333"/>
          <w:sz w:val="21"/>
          <w:szCs w:val="21"/>
        </w:rPr>
        <w:br/>
      </w:r>
      <w:r w:rsidRPr="00950D33">
        <w:rPr>
          <w:rFonts w:ascii="Tahoma" w:eastAsia="Times New Roman" w:hAnsi="Tahoma" w:cs="Tahoma"/>
          <w:b/>
          <w:bCs/>
          <w:color w:val="333333"/>
          <w:sz w:val="21"/>
          <w:szCs w:val="21"/>
        </w:rPr>
        <w:t>2. Cách thức xét tuyển: </w:t>
      </w:r>
      <w:r w:rsidRPr="00950D33">
        <w:rPr>
          <w:rFonts w:ascii="Tahoma" w:eastAsia="Times New Roman" w:hAnsi="Tahoma" w:cs="Tahoma"/>
          <w:color w:val="333333"/>
          <w:sz w:val="21"/>
          <w:szCs w:val="21"/>
        </w:rPr>
        <w:t>Để thuận lợi cho thí sinh đăng ký xét tuyển, thí sinh truy cập link </w:t>
      </w:r>
      <w:hyperlink r:id="rId4" w:history="1">
        <w:r w:rsidRPr="00950D33">
          <w:rPr>
            <w:rFonts w:ascii="Tahoma" w:eastAsia="Times New Roman" w:hAnsi="Tahoma" w:cs="Tahoma"/>
            <w:i/>
            <w:iCs/>
            <w:color w:val="0000FF"/>
            <w:sz w:val="21"/>
            <w:szCs w:val="21"/>
          </w:rPr>
          <w:t>https://vnuf2.edu.vn/xettuyen</w:t>
        </w:r>
      </w:hyperlink>
      <w:r w:rsidRPr="00950D33">
        <w:rPr>
          <w:rFonts w:ascii="Tahoma" w:eastAsia="Times New Roman" w:hAnsi="Tahoma" w:cs="Tahoma"/>
          <w:color w:val="333333"/>
          <w:sz w:val="21"/>
          <w:szCs w:val="21"/>
        </w:rPr>
        <w:t> để đăng ký xét tuyển online.</w:t>
      </w:r>
      <w:r w:rsidRPr="00950D33">
        <w:rPr>
          <w:rFonts w:ascii="Tahoma" w:eastAsia="Times New Roman" w:hAnsi="Tahoma" w:cs="Tahoma"/>
          <w:color w:val="333333"/>
          <w:sz w:val="21"/>
          <w:szCs w:val="21"/>
        </w:rPr>
        <w:br/>
      </w:r>
      <w:r w:rsidRPr="00950D33">
        <w:rPr>
          <w:rFonts w:ascii="Tahoma" w:eastAsia="Times New Roman" w:hAnsi="Tahoma" w:cs="Tahoma"/>
          <w:color w:val="333333"/>
          <w:sz w:val="21"/>
          <w:szCs w:val="21"/>
        </w:rPr>
        <w:br/>
      </w:r>
      <w:r w:rsidRPr="00950D33">
        <w:rPr>
          <w:rFonts w:ascii="Tahoma" w:eastAsia="Times New Roman" w:hAnsi="Tahoma" w:cs="Tahoma"/>
          <w:b/>
          <w:bCs/>
          <w:color w:val="333333"/>
          <w:sz w:val="21"/>
          <w:szCs w:val="21"/>
        </w:rPr>
        <w:t>3. Lệ phí xét tuyển:</w:t>
      </w:r>
      <w:r w:rsidRPr="00950D33">
        <w:rPr>
          <w:rFonts w:ascii="Tahoma" w:eastAsia="Times New Roman" w:hAnsi="Tahoma" w:cs="Tahoma"/>
          <w:color w:val="333333"/>
          <w:sz w:val="21"/>
          <w:szCs w:val="21"/>
        </w:rPr>
        <w:t> 20.000 đồng/ thí sinh</w:t>
      </w:r>
      <w:r w:rsidRPr="00950D33">
        <w:rPr>
          <w:rFonts w:ascii="Tahoma" w:eastAsia="Times New Roman" w:hAnsi="Tahoma" w:cs="Tahoma"/>
          <w:color w:val="333333"/>
          <w:sz w:val="21"/>
          <w:szCs w:val="21"/>
        </w:rPr>
        <w:br/>
      </w:r>
      <w:r w:rsidRPr="00950D33">
        <w:rPr>
          <w:rFonts w:ascii="Tahoma" w:eastAsia="Times New Roman" w:hAnsi="Tahoma" w:cs="Tahoma"/>
          <w:color w:val="333333"/>
          <w:sz w:val="21"/>
          <w:szCs w:val="21"/>
        </w:rPr>
        <w:br/>
      </w:r>
      <w:r w:rsidRPr="00950D33">
        <w:rPr>
          <w:rFonts w:ascii="Tahoma" w:eastAsia="Times New Roman" w:hAnsi="Tahoma" w:cs="Tahoma"/>
          <w:b/>
          <w:bCs/>
          <w:color w:val="333333"/>
          <w:sz w:val="21"/>
          <w:szCs w:val="21"/>
        </w:rPr>
        <w:t>4. Thời gian xét tuyển:</w:t>
      </w:r>
      <w:r w:rsidRPr="00950D33">
        <w:rPr>
          <w:rFonts w:ascii="Tahoma" w:eastAsia="Times New Roman" w:hAnsi="Tahoma" w:cs="Tahoma"/>
          <w:color w:val="333333"/>
          <w:sz w:val="21"/>
          <w:szCs w:val="21"/>
        </w:rPr>
        <w:t> từ </w:t>
      </w:r>
      <w:r w:rsidRPr="00950D33">
        <w:rPr>
          <w:rFonts w:ascii="Tahoma" w:eastAsia="Times New Roman" w:hAnsi="Tahoma" w:cs="Tahoma"/>
          <w:b/>
          <w:bCs/>
          <w:color w:val="333333"/>
          <w:sz w:val="21"/>
          <w:szCs w:val="21"/>
        </w:rPr>
        <w:t>19/9/2022</w:t>
      </w:r>
      <w:r w:rsidRPr="00950D33">
        <w:rPr>
          <w:rFonts w:ascii="Tahoma" w:eastAsia="Times New Roman" w:hAnsi="Tahoma" w:cs="Tahoma"/>
          <w:color w:val="333333"/>
          <w:sz w:val="21"/>
          <w:szCs w:val="21"/>
        </w:rPr>
        <w:t> đến ngày </w:t>
      </w:r>
      <w:r w:rsidRPr="00950D33">
        <w:rPr>
          <w:rFonts w:ascii="Tahoma" w:eastAsia="Times New Roman" w:hAnsi="Tahoma" w:cs="Tahoma"/>
          <w:b/>
          <w:bCs/>
          <w:color w:val="333333"/>
          <w:sz w:val="21"/>
          <w:szCs w:val="21"/>
        </w:rPr>
        <w:t>10/10/2022.</w:t>
      </w:r>
      <w:r w:rsidRPr="00950D33">
        <w:rPr>
          <w:rFonts w:ascii="Tahoma" w:eastAsia="Times New Roman" w:hAnsi="Tahoma" w:cs="Tahoma"/>
          <w:color w:val="333333"/>
          <w:sz w:val="21"/>
          <w:szCs w:val="21"/>
        </w:rPr>
        <w:br/>
      </w:r>
      <w:r w:rsidRPr="00950D33">
        <w:rPr>
          <w:rFonts w:ascii="Tahoma" w:eastAsia="Times New Roman" w:hAnsi="Tahoma" w:cs="Tahoma"/>
          <w:color w:val="333333"/>
          <w:sz w:val="21"/>
          <w:szCs w:val="21"/>
        </w:rPr>
        <w:br/>
      </w:r>
      <w:r w:rsidRPr="00950D33">
        <w:rPr>
          <w:rFonts w:ascii="Tahoma" w:eastAsia="Times New Roman" w:hAnsi="Tahoma" w:cs="Tahoma"/>
          <w:b/>
          <w:bCs/>
          <w:color w:val="333333"/>
          <w:sz w:val="21"/>
          <w:szCs w:val="21"/>
        </w:rPr>
        <w:t>5. Thông báo kết quả và nhập học:</w:t>
      </w:r>
      <w:r w:rsidRPr="00950D33">
        <w:rPr>
          <w:rFonts w:ascii="Tahoma" w:eastAsia="Times New Roman" w:hAnsi="Tahoma" w:cs="Tahoma"/>
          <w:color w:val="333333"/>
          <w:sz w:val="21"/>
          <w:szCs w:val="21"/>
        </w:rPr>
        <w:br/>
        <w:t>- VNUF2 thông báo kết quả trúng tuyển thông qua điện thoại và zalo, kết quả sẽ được công bố trên website tuyển sinh https://vnuf2.edu.vn/</w:t>
      </w:r>
      <w:r w:rsidRPr="00950D33">
        <w:rPr>
          <w:rFonts w:ascii="Tahoma" w:eastAsia="Times New Roman" w:hAnsi="Tahoma" w:cs="Tahoma"/>
          <w:color w:val="333333"/>
          <w:sz w:val="21"/>
          <w:szCs w:val="21"/>
        </w:rPr>
        <w:br/>
        <w:t>- Thời gian xác nhận và làm thủ tục nhập học: từ ngày 22/9 đến 17h00 ngày 15/10/2022.</w:t>
      </w:r>
    </w:p>
    <w:p w:rsidR="00950D33" w:rsidRDefault="00950D33" w:rsidP="00950D33"/>
    <w:sectPr w:rsidR="00950D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33"/>
    <w:rsid w:val="00950D33"/>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396A697-60E2-2E4B-8588-ACD68342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0D3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50D33"/>
    <w:rPr>
      <w:b/>
      <w:bCs/>
    </w:rPr>
  </w:style>
  <w:style w:type="character" w:styleId="Emphasis">
    <w:name w:val="Emphasis"/>
    <w:basedOn w:val="DefaultParagraphFont"/>
    <w:uiPriority w:val="20"/>
    <w:qFormat/>
    <w:rsid w:val="00950D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7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nuf2.edu.vn/xettu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2938</Characters>
  <Application>Microsoft Office Word</Application>
  <DocSecurity>0</DocSecurity>
  <Lines>24</Lines>
  <Paragraphs>6</Paragraphs>
  <ScaleCrop>false</ScaleCrop>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2022-10-04T09:07:00Z</dcterms:created>
  <dcterms:modified xsi:type="dcterms:W3CDTF">2022-10-04T09:08:00Z</dcterms:modified>
</cp:coreProperties>
</file>